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2CBA" w14:textId="77777777" w:rsidR="00F5465F" w:rsidRDefault="0046095F" w:rsidP="00F5465F">
      <w:pPr>
        <w:pStyle w:val="Bodytext10"/>
        <w:shd w:val="clear" w:color="auto" w:fill="auto"/>
        <w:spacing w:after="0"/>
        <w:jc w:val="center"/>
        <w:rPr>
          <w:b/>
          <w:bCs/>
        </w:rPr>
      </w:pPr>
      <w:r>
        <w:rPr>
          <w:b/>
          <w:bCs/>
        </w:rPr>
        <w:t>NOTICE OF PUBLIC HEARINGS</w:t>
      </w:r>
    </w:p>
    <w:p w14:paraId="38F9C665" w14:textId="4731F06A" w:rsidR="00AF1408" w:rsidRDefault="0046095F" w:rsidP="00F5465F">
      <w:pPr>
        <w:pStyle w:val="Bodytext10"/>
        <w:shd w:val="clear" w:color="auto" w:fill="auto"/>
        <w:spacing w:after="0"/>
        <w:jc w:val="center"/>
      </w:pPr>
      <w:r>
        <w:rPr>
          <w:b/>
          <w:bCs/>
        </w:rPr>
        <w:br/>
      </w:r>
      <w:r w:rsidR="0058686D">
        <w:rPr>
          <w:b/>
          <w:bCs/>
        </w:rPr>
        <w:t xml:space="preserve">IN THE MATTER OF THE PETITION OF </w:t>
      </w:r>
      <w:r>
        <w:rPr>
          <w:b/>
          <w:bCs/>
        </w:rPr>
        <w:t>AQUA NEW JERSEY, INC.</w:t>
      </w:r>
    </w:p>
    <w:p w14:paraId="4B182156" w14:textId="376B4ED0" w:rsidR="0058686D" w:rsidRPr="00BA6E74" w:rsidRDefault="0046095F" w:rsidP="0058686D">
      <w:pPr>
        <w:pStyle w:val="Bodytext10"/>
        <w:shd w:val="clear" w:color="auto" w:fill="auto"/>
        <w:spacing w:after="0"/>
        <w:jc w:val="center"/>
        <w:rPr>
          <w:b/>
          <w:bCs/>
        </w:rPr>
      </w:pPr>
      <w:r>
        <w:rPr>
          <w:b/>
          <w:bCs/>
        </w:rPr>
        <w:t>FOR APPROVAL OF A RESILIENCY AND</w:t>
      </w:r>
      <w:r w:rsidR="0058686D">
        <w:rPr>
          <w:b/>
          <w:bCs/>
        </w:rPr>
        <w:t xml:space="preserve"> </w:t>
      </w:r>
      <w:r>
        <w:rPr>
          <w:b/>
          <w:bCs/>
        </w:rPr>
        <w:t xml:space="preserve">ENVIRONMENTAL SYSTEM INVESTMENT CHARGE </w:t>
      </w:r>
      <w:r w:rsidR="0058686D">
        <w:rPr>
          <w:b/>
          <w:bCs/>
        </w:rPr>
        <w:t>FOUNDATIONAL FILING AND RELATED SURCHARGE</w:t>
      </w:r>
    </w:p>
    <w:p w14:paraId="75F05840" w14:textId="77777777" w:rsidR="00AF1408" w:rsidRDefault="0046095F">
      <w:pPr>
        <w:pStyle w:val="Bodytext10"/>
        <w:shd w:val="clear" w:color="auto" w:fill="auto"/>
        <w:jc w:val="center"/>
      </w:pPr>
      <w:r>
        <w:rPr>
          <w:b/>
          <w:bCs/>
        </w:rPr>
        <w:t>BPU Docket No. WR25060367</w:t>
      </w:r>
    </w:p>
    <w:p w14:paraId="20769766" w14:textId="77777777" w:rsidR="00AF1408" w:rsidRDefault="0046095F">
      <w:pPr>
        <w:pStyle w:val="Bodytext10"/>
        <w:shd w:val="clear" w:color="auto" w:fill="auto"/>
        <w:jc w:val="both"/>
      </w:pPr>
      <w:r>
        <w:rPr>
          <w:b/>
          <w:bCs/>
        </w:rPr>
        <w:t>TO OUR CUSTOMERS:</w:t>
      </w:r>
    </w:p>
    <w:p w14:paraId="009AD92F" w14:textId="2185419C" w:rsidR="00AF1408" w:rsidRDefault="0046095F">
      <w:pPr>
        <w:pStyle w:val="Bodytext10"/>
        <w:shd w:val="clear" w:color="auto" w:fill="auto"/>
        <w:jc w:val="both"/>
      </w:pPr>
      <w:r>
        <w:t>PLEASE TAKE NOTICE that on June 2</w:t>
      </w:r>
      <w:r w:rsidR="0058686D">
        <w:t>6</w:t>
      </w:r>
      <w:r>
        <w:t xml:space="preserve">, 2025, Aqua New Jersey, Inc. (“Company”) filed a Petition with the New Jersey Board of Public Utilities (“Board”), seeking approval of a Foundational Filing to implement a Resiliency and Environmental System Investment Charge (“RESIC”), pursuant to N.J. S. A. 48:19-29 </w:t>
      </w:r>
      <w:r>
        <w:rPr>
          <w:i/>
          <w:iCs/>
        </w:rPr>
        <w:t>et</w:t>
      </w:r>
      <w:r w:rsidR="00EA3B9D">
        <w:rPr>
          <w:i/>
          <w:iCs/>
        </w:rPr>
        <w:t xml:space="preserve"> </w:t>
      </w:r>
      <w:r>
        <w:rPr>
          <w:i/>
          <w:iCs/>
        </w:rPr>
        <w:t>seq.</w:t>
      </w:r>
      <w:r>
        <w:t xml:space="preserve"> A RESIC is a regulatory mechanism that enables timely cost recovery of investments in certain non-revenue producing water and wastewater system components that are </w:t>
      </w:r>
      <w:r w:rsidR="00F42D2A">
        <w:t>needed to comply</w:t>
      </w:r>
      <w:r>
        <w:t xml:space="preserve"> with requirements addressing existing or emerging </w:t>
      </w:r>
      <w:r w:rsidR="005A4E68">
        <w:t>chemical elements or compounds</w:t>
      </w:r>
      <w:r>
        <w:t>; as well as investments to enhance water and wastewater system resiliency, and the health, safety or environmental protection of customers, employees, or the public. A RESIC rate is interim, subject to refund, until the</w:t>
      </w:r>
      <w:r w:rsidR="00303D40">
        <w:t xml:space="preserve"> Company’s investments are reviewed in a</w:t>
      </w:r>
      <w:r>
        <w:t xml:space="preserve"> subsequent base rate case.</w:t>
      </w:r>
    </w:p>
    <w:p w14:paraId="4F8A8B3B" w14:textId="7EBA3559" w:rsidR="00AF1408" w:rsidRDefault="0046095F">
      <w:pPr>
        <w:pStyle w:val="Bodytext10"/>
        <w:shd w:val="clear" w:color="auto" w:fill="auto"/>
        <w:tabs>
          <w:tab w:val="left" w:pos="8304"/>
        </w:tabs>
        <w:jc w:val="both"/>
      </w:pPr>
      <w:r>
        <w:t xml:space="preserve">Any rate adjustments with resulting changes in bill impacts found by the Board to be just and reasonable may be modified and/or allocated by the Board in accordance with the provisions of N.J.S.A. 48:2-21 and for other good and legally sufficient reasons to any class or classes of customers of the Company. Therefore, the described charges may increase or decrease based upon the Board’s decision. The Petition and applicable </w:t>
      </w:r>
      <w:r w:rsidR="008C4A02">
        <w:t>e</w:t>
      </w:r>
      <w:r>
        <w:t xml:space="preserve">xhibits as well as the Public Hearing Notice for this proceeding can be viewed on the Company’s website at </w:t>
      </w:r>
      <w:hyperlink r:id="rId6" w:history="1">
        <w:r w:rsidR="008C4A02" w:rsidRPr="00BA4B1B">
          <w:rPr>
            <w:rStyle w:val="Hyperlink"/>
          </w:rPr>
          <w:t>www.aquawater.com</w:t>
        </w:r>
      </w:hyperlink>
      <w:r>
        <w:t>.</w:t>
      </w:r>
      <w:r w:rsidR="008C4A02">
        <w:t xml:space="preserve"> </w:t>
      </w:r>
    </w:p>
    <w:p w14:paraId="110C4841" w14:textId="3D3DBD5E" w:rsidR="00AF1408" w:rsidRDefault="0046095F">
      <w:pPr>
        <w:pStyle w:val="Bodytext10"/>
        <w:shd w:val="clear" w:color="auto" w:fill="auto"/>
      </w:pPr>
      <w:r>
        <w:t xml:space="preserve">The maximum proposed monthly RESIC rates are contained in the </w:t>
      </w:r>
      <w:r w:rsidR="00303D40">
        <w:t>P</w:t>
      </w:r>
      <w:r>
        <w:t>etition filed with the Board, as set forth below.</w:t>
      </w:r>
    </w:p>
    <w:p w14:paraId="1F3CA12F" w14:textId="77777777" w:rsidR="00AF1408" w:rsidRDefault="0046095F">
      <w:pPr>
        <w:pStyle w:val="Bodytext10"/>
        <w:shd w:val="clear" w:color="auto" w:fill="auto"/>
        <w:spacing w:after="0"/>
        <w:jc w:val="center"/>
      </w:pPr>
      <w:r>
        <w:t>PROPOSED RESIC SURCHARGE RATES BASED ON</w:t>
      </w:r>
      <w:r>
        <w:br/>
        <w:t>METER SIZE OR EQUIVALENT</w:t>
      </w:r>
    </w:p>
    <w:p w14:paraId="74004B0F" w14:textId="77777777" w:rsidR="00AF1408" w:rsidRDefault="0046095F">
      <w:pPr>
        <w:pStyle w:val="Bodytext10"/>
        <w:shd w:val="clear" w:color="auto" w:fill="auto"/>
        <w:jc w:val="center"/>
      </w:pPr>
      <w:r>
        <w:t>Maximum Monthly RESIC Surcharge - Water and Wastewater: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52"/>
        <w:gridCol w:w="1690"/>
      </w:tblGrid>
      <w:tr w:rsidR="004B7670" w14:paraId="26EF3716" w14:textId="77777777">
        <w:trPr>
          <w:trHeight w:hRule="exact" w:val="274"/>
          <w:jc w:val="center"/>
        </w:trPr>
        <w:tc>
          <w:tcPr>
            <w:tcW w:w="1752" w:type="dxa"/>
            <w:shd w:val="clear" w:color="auto" w:fill="FFFFFF"/>
          </w:tcPr>
          <w:p w14:paraId="4A4C6720" w14:textId="77777777" w:rsidR="004B7670" w:rsidRDefault="004B7670">
            <w:pPr>
              <w:pStyle w:val="Other10"/>
              <w:shd w:val="clear" w:color="auto" w:fill="auto"/>
              <w:spacing w:after="0"/>
            </w:pPr>
            <w:r>
              <w:t>Size of Meter</w:t>
            </w:r>
          </w:p>
        </w:tc>
        <w:tc>
          <w:tcPr>
            <w:tcW w:w="1690" w:type="dxa"/>
            <w:shd w:val="clear" w:color="auto" w:fill="FFFFFF"/>
          </w:tcPr>
          <w:p w14:paraId="24A34733" w14:textId="77777777" w:rsidR="004B7670" w:rsidRDefault="004B7670">
            <w:pPr>
              <w:pStyle w:val="Other10"/>
              <w:shd w:val="clear" w:color="auto" w:fill="auto"/>
              <w:spacing w:after="0"/>
              <w:jc w:val="right"/>
            </w:pPr>
            <w:r>
              <w:t>Proposed Rate</w:t>
            </w:r>
          </w:p>
        </w:tc>
      </w:tr>
      <w:tr w:rsidR="004B7670" w14:paraId="09A6C069" w14:textId="77777777">
        <w:trPr>
          <w:trHeight w:hRule="exact" w:val="259"/>
          <w:jc w:val="center"/>
        </w:trPr>
        <w:tc>
          <w:tcPr>
            <w:tcW w:w="1752" w:type="dxa"/>
            <w:shd w:val="clear" w:color="auto" w:fill="FFFFFF"/>
          </w:tcPr>
          <w:p w14:paraId="42210C60" w14:textId="77777777" w:rsidR="004B7670" w:rsidRDefault="004B7670">
            <w:pPr>
              <w:pStyle w:val="Other10"/>
              <w:shd w:val="clear" w:color="auto" w:fill="auto"/>
              <w:spacing w:after="0"/>
              <w:ind w:firstLine="700"/>
            </w:pPr>
            <w:r>
              <w:t>5/8</w:t>
            </w:r>
          </w:p>
        </w:tc>
        <w:tc>
          <w:tcPr>
            <w:tcW w:w="1690" w:type="dxa"/>
            <w:shd w:val="clear" w:color="auto" w:fill="FFFFFF"/>
          </w:tcPr>
          <w:p w14:paraId="45E8A8F6" w14:textId="77777777" w:rsidR="004B7670" w:rsidRDefault="004B7670">
            <w:pPr>
              <w:pStyle w:val="Other10"/>
              <w:shd w:val="clear" w:color="auto" w:fill="auto"/>
              <w:spacing w:after="0"/>
              <w:ind w:right="140"/>
              <w:jc w:val="right"/>
            </w:pPr>
            <w:r>
              <w:t>$1.42</w:t>
            </w:r>
          </w:p>
        </w:tc>
      </w:tr>
      <w:tr w:rsidR="004B7670" w14:paraId="7B9231DE" w14:textId="77777777">
        <w:trPr>
          <w:trHeight w:hRule="exact" w:val="278"/>
          <w:jc w:val="center"/>
        </w:trPr>
        <w:tc>
          <w:tcPr>
            <w:tcW w:w="1752" w:type="dxa"/>
            <w:shd w:val="clear" w:color="auto" w:fill="FFFFFF"/>
          </w:tcPr>
          <w:p w14:paraId="5D3023DB" w14:textId="77777777" w:rsidR="004B7670" w:rsidRDefault="004B7670">
            <w:pPr>
              <w:pStyle w:val="Other10"/>
              <w:shd w:val="clear" w:color="auto" w:fill="auto"/>
              <w:spacing w:after="0"/>
              <w:ind w:firstLine="700"/>
            </w:pPr>
            <w:r>
              <w:t>3/4</w:t>
            </w:r>
          </w:p>
        </w:tc>
        <w:tc>
          <w:tcPr>
            <w:tcW w:w="1690" w:type="dxa"/>
            <w:shd w:val="clear" w:color="auto" w:fill="FFFFFF"/>
          </w:tcPr>
          <w:p w14:paraId="154462E2" w14:textId="77777777" w:rsidR="004B7670" w:rsidRDefault="004B7670">
            <w:pPr>
              <w:pStyle w:val="Other10"/>
              <w:shd w:val="clear" w:color="auto" w:fill="auto"/>
              <w:spacing w:after="0"/>
              <w:ind w:right="140"/>
              <w:jc w:val="right"/>
            </w:pPr>
            <w:r>
              <w:t>2.13</w:t>
            </w:r>
          </w:p>
        </w:tc>
      </w:tr>
      <w:tr w:rsidR="004B7670" w14:paraId="7805ED4D" w14:textId="77777777">
        <w:trPr>
          <w:trHeight w:hRule="exact" w:val="269"/>
          <w:jc w:val="center"/>
        </w:trPr>
        <w:tc>
          <w:tcPr>
            <w:tcW w:w="1752" w:type="dxa"/>
            <w:shd w:val="clear" w:color="auto" w:fill="FFFFFF"/>
            <w:vAlign w:val="bottom"/>
          </w:tcPr>
          <w:p w14:paraId="32901393" w14:textId="77777777" w:rsidR="004B7670" w:rsidRDefault="004B7670">
            <w:pPr>
              <w:pStyle w:val="Other10"/>
              <w:shd w:val="clear" w:color="auto" w:fill="auto"/>
              <w:spacing w:after="0"/>
              <w:ind w:firstLine="700"/>
            </w:pPr>
            <w:r>
              <w:t>1</w:t>
            </w:r>
          </w:p>
        </w:tc>
        <w:tc>
          <w:tcPr>
            <w:tcW w:w="1690" w:type="dxa"/>
            <w:shd w:val="clear" w:color="auto" w:fill="FFFFFF"/>
            <w:vAlign w:val="bottom"/>
          </w:tcPr>
          <w:p w14:paraId="621FC643" w14:textId="77777777" w:rsidR="004B7670" w:rsidRDefault="004B7670">
            <w:pPr>
              <w:pStyle w:val="Other10"/>
              <w:shd w:val="clear" w:color="auto" w:fill="auto"/>
              <w:spacing w:after="0"/>
              <w:ind w:right="140"/>
              <w:jc w:val="right"/>
            </w:pPr>
            <w:r>
              <w:t>3.55</w:t>
            </w:r>
          </w:p>
        </w:tc>
      </w:tr>
      <w:tr w:rsidR="004B7670" w14:paraId="00D5F3D5" w14:textId="77777777">
        <w:trPr>
          <w:trHeight w:hRule="exact" w:val="283"/>
          <w:jc w:val="center"/>
        </w:trPr>
        <w:tc>
          <w:tcPr>
            <w:tcW w:w="1752" w:type="dxa"/>
            <w:shd w:val="clear" w:color="auto" w:fill="FFFFFF"/>
          </w:tcPr>
          <w:p w14:paraId="166D9192" w14:textId="77777777" w:rsidR="004B7670" w:rsidRDefault="004B7670">
            <w:pPr>
              <w:pStyle w:val="Other10"/>
              <w:shd w:val="clear" w:color="auto" w:fill="auto"/>
              <w:spacing w:after="0"/>
              <w:ind w:firstLine="700"/>
            </w:pPr>
            <w:r>
              <w:t>1-1/2</w:t>
            </w:r>
          </w:p>
        </w:tc>
        <w:tc>
          <w:tcPr>
            <w:tcW w:w="1690" w:type="dxa"/>
            <w:shd w:val="clear" w:color="auto" w:fill="FFFFFF"/>
          </w:tcPr>
          <w:p w14:paraId="4851AFE6" w14:textId="77777777" w:rsidR="004B7670" w:rsidRDefault="004B7670">
            <w:pPr>
              <w:pStyle w:val="Other10"/>
              <w:shd w:val="clear" w:color="auto" w:fill="auto"/>
              <w:spacing w:after="0"/>
              <w:ind w:right="140"/>
              <w:jc w:val="right"/>
            </w:pPr>
            <w:r>
              <w:t>7.10</w:t>
            </w:r>
          </w:p>
        </w:tc>
      </w:tr>
      <w:tr w:rsidR="004B7670" w14:paraId="6C1EF250" w14:textId="77777777">
        <w:trPr>
          <w:trHeight w:hRule="exact" w:val="274"/>
          <w:jc w:val="center"/>
        </w:trPr>
        <w:tc>
          <w:tcPr>
            <w:tcW w:w="1752" w:type="dxa"/>
            <w:shd w:val="clear" w:color="auto" w:fill="FFFFFF"/>
            <w:vAlign w:val="bottom"/>
          </w:tcPr>
          <w:p w14:paraId="2AF7EDB9" w14:textId="77777777" w:rsidR="004B7670" w:rsidRDefault="004B7670">
            <w:pPr>
              <w:pStyle w:val="Other10"/>
              <w:shd w:val="clear" w:color="auto" w:fill="auto"/>
              <w:spacing w:after="0"/>
              <w:ind w:firstLine="700"/>
            </w:pPr>
            <w:r>
              <w:t>2</w:t>
            </w:r>
          </w:p>
        </w:tc>
        <w:tc>
          <w:tcPr>
            <w:tcW w:w="1690" w:type="dxa"/>
            <w:shd w:val="clear" w:color="auto" w:fill="FFFFFF"/>
            <w:vAlign w:val="center"/>
          </w:tcPr>
          <w:p w14:paraId="17712ED9" w14:textId="77777777" w:rsidR="004B7670" w:rsidRDefault="004B7670">
            <w:pPr>
              <w:pStyle w:val="Other10"/>
              <w:shd w:val="clear" w:color="auto" w:fill="auto"/>
              <w:spacing w:after="0"/>
              <w:ind w:right="140"/>
              <w:jc w:val="right"/>
            </w:pPr>
            <w:r>
              <w:t>11.36</w:t>
            </w:r>
          </w:p>
        </w:tc>
      </w:tr>
      <w:tr w:rsidR="004B7670" w14:paraId="4A99BD53" w14:textId="77777777">
        <w:trPr>
          <w:trHeight w:hRule="exact" w:val="274"/>
          <w:jc w:val="center"/>
        </w:trPr>
        <w:tc>
          <w:tcPr>
            <w:tcW w:w="1752" w:type="dxa"/>
            <w:shd w:val="clear" w:color="auto" w:fill="FFFFFF"/>
            <w:vAlign w:val="bottom"/>
          </w:tcPr>
          <w:p w14:paraId="7A42E773" w14:textId="77777777" w:rsidR="004B7670" w:rsidRDefault="004B7670">
            <w:pPr>
              <w:pStyle w:val="Other10"/>
              <w:shd w:val="clear" w:color="auto" w:fill="auto"/>
              <w:spacing w:after="0"/>
              <w:ind w:firstLine="700"/>
            </w:pPr>
            <w:r>
              <w:t>3</w:t>
            </w:r>
          </w:p>
        </w:tc>
        <w:tc>
          <w:tcPr>
            <w:tcW w:w="1690" w:type="dxa"/>
            <w:shd w:val="clear" w:color="auto" w:fill="FFFFFF"/>
            <w:vAlign w:val="bottom"/>
          </w:tcPr>
          <w:p w14:paraId="2C86CE01" w14:textId="77777777" w:rsidR="004B7670" w:rsidRDefault="004B7670">
            <w:pPr>
              <w:pStyle w:val="Other10"/>
              <w:shd w:val="clear" w:color="auto" w:fill="auto"/>
              <w:spacing w:after="0"/>
              <w:ind w:right="140"/>
              <w:jc w:val="right"/>
            </w:pPr>
            <w:r>
              <w:t>21.30</w:t>
            </w:r>
          </w:p>
        </w:tc>
      </w:tr>
      <w:tr w:rsidR="004B7670" w14:paraId="1503CCA6" w14:textId="77777777">
        <w:trPr>
          <w:trHeight w:hRule="exact" w:val="278"/>
          <w:jc w:val="center"/>
        </w:trPr>
        <w:tc>
          <w:tcPr>
            <w:tcW w:w="1752" w:type="dxa"/>
            <w:shd w:val="clear" w:color="auto" w:fill="FFFFFF"/>
            <w:vAlign w:val="bottom"/>
          </w:tcPr>
          <w:p w14:paraId="07010581" w14:textId="77777777" w:rsidR="004B7670" w:rsidRDefault="004B7670">
            <w:pPr>
              <w:pStyle w:val="Other10"/>
              <w:shd w:val="clear" w:color="auto" w:fill="auto"/>
              <w:spacing w:after="0"/>
              <w:ind w:firstLine="700"/>
            </w:pPr>
            <w:r>
              <w:t>4</w:t>
            </w:r>
          </w:p>
        </w:tc>
        <w:tc>
          <w:tcPr>
            <w:tcW w:w="1690" w:type="dxa"/>
            <w:shd w:val="clear" w:color="auto" w:fill="FFFFFF"/>
            <w:vAlign w:val="bottom"/>
          </w:tcPr>
          <w:p w14:paraId="306B074C" w14:textId="77777777" w:rsidR="004B7670" w:rsidRDefault="004B7670">
            <w:pPr>
              <w:pStyle w:val="Other10"/>
              <w:shd w:val="clear" w:color="auto" w:fill="auto"/>
              <w:spacing w:after="0"/>
              <w:ind w:right="140"/>
              <w:jc w:val="right"/>
            </w:pPr>
            <w:r>
              <w:t>35.50</w:t>
            </w:r>
          </w:p>
        </w:tc>
      </w:tr>
      <w:tr w:rsidR="004B7670" w14:paraId="5120563F" w14:textId="77777777">
        <w:trPr>
          <w:trHeight w:hRule="exact" w:val="274"/>
          <w:jc w:val="center"/>
        </w:trPr>
        <w:tc>
          <w:tcPr>
            <w:tcW w:w="1752" w:type="dxa"/>
            <w:shd w:val="clear" w:color="auto" w:fill="FFFFFF"/>
            <w:vAlign w:val="bottom"/>
          </w:tcPr>
          <w:p w14:paraId="4DCEAE35" w14:textId="77777777" w:rsidR="004B7670" w:rsidRDefault="004B7670">
            <w:pPr>
              <w:pStyle w:val="Other10"/>
              <w:shd w:val="clear" w:color="auto" w:fill="auto"/>
              <w:spacing w:after="0"/>
              <w:ind w:firstLine="700"/>
            </w:pPr>
            <w:r>
              <w:t>6</w:t>
            </w:r>
          </w:p>
        </w:tc>
        <w:tc>
          <w:tcPr>
            <w:tcW w:w="1690" w:type="dxa"/>
            <w:shd w:val="clear" w:color="auto" w:fill="FFFFFF"/>
            <w:vAlign w:val="bottom"/>
          </w:tcPr>
          <w:p w14:paraId="07548934" w14:textId="77777777" w:rsidR="004B7670" w:rsidRDefault="004B7670">
            <w:pPr>
              <w:pStyle w:val="Other10"/>
              <w:shd w:val="clear" w:color="auto" w:fill="auto"/>
              <w:spacing w:after="0"/>
              <w:ind w:right="140"/>
              <w:jc w:val="right"/>
            </w:pPr>
            <w:r>
              <w:t>71.00</w:t>
            </w:r>
          </w:p>
        </w:tc>
      </w:tr>
      <w:tr w:rsidR="004B7670" w14:paraId="47DA216E" w14:textId="77777777">
        <w:trPr>
          <w:trHeight w:hRule="exact" w:val="278"/>
          <w:jc w:val="center"/>
        </w:trPr>
        <w:tc>
          <w:tcPr>
            <w:tcW w:w="1752" w:type="dxa"/>
            <w:shd w:val="clear" w:color="auto" w:fill="FFFFFF"/>
            <w:vAlign w:val="bottom"/>
          </w:tcPr>
          <w:p w14:paraId="60999E3A" w14:textId="77777777" w:rsidR="004B7670" w:rsidRDefault="004B7670">
            <w:pPr>
              <w:pStyle w:val="Other10"/>
              <w:shd w:val="clear" w:color="auto" w:fill="auto"/>
              <w:spacing w:after="0"/>
              <w:ind w:firstLine="700"/>
            </w:pPr>
            <w:r>
              <w:t>8</w:t>
            </w:r>
          </w:p>
        </w:tc>
        <w:tc>
          <w:tcPr>
            <w:tcW w:w="1690" w:type="dxa"/>
            <w:shd w:val="clear" w:color="auto" w:fill="FFFFFF"/>
            <w:vAlign w:val="center"/>
          </w:tcPr>
          <w:p w14:paraId="4E08EF88" w14:textId="77777777" w:rsidR="004B7670" w:rsidRDefault="004B7670">
            <w:pPr>
              <w:pStyle w:val="Other10"/>
              <w:shd w:val="clear" w:color="auto" w:fill="auto"/>
              <w:spacing w:after="0"/>
              <w:ind w:right="140"/>
              <w:jc w:val="right"/>
            </w:pPr>
            <w:r>
              <w:t>113.60</w:t>
            </w:r>
          </w:p>
        </w:tc>
      </w:tr>
      <w:tr w:rsidR="004B7670" w14:paraId="6E88CE86" w14:textId="77777777">
        <w:trPr>
          <w:trHeight w:hRule="exact" w:val="245"/>
          <w:jc w:val="center"/>
        </w:trPr>
        <w:tc>
          <w:tcPr>
            <w:tcW w:w="1752" w:type="dxa"/>
            <w:shd w:val="clear" w:color="auto" w:fill="FFFFFF"/>
            <w:vAlign w:val="bottom"/>
          </w:tcPr>
          <w:p w14:paraId="164145D7" w14:textId="77777777" w:rsidR="004B7670" w:rsidRDefault="004B7670">
            <w:pPr>
              <w:pStyle w:val="Other10"/>
              <w:shd w:val="clear" w:color="auto" w:fill="auto"/>
              <w:spacing w:after="0"/>
              <w:ind w:firstLine="700"/>
            </w:pPr>
            <w:r>
              <w:t>10</w:t>
            </w:r>
          </w:p>
        </w:tc>
        <w:tc>
          <w:tcPr>
            <w:tcW w:w="1690" w:type="dxa"/>
            <w:shd w:val="clear" w:color="auto" w:fill="FFFFFF"/>
            <w:vAlign w:val="bottom"/>
          </w:tcPr>
          <w:p w14:paraId="3FB27543" w14:textId="3C495705" w:rsidR="004B7670" w:rsidRDefault="004B7670">
            <w:pPr>
              <w:pStyle w:val="Other10"/>
              <w:shd w:val="clear" w:color="auto" w:fill="auto"/>
              <w:spacing w:after="0"/>
              <w:ind w:right="140"/>
              <w:jc w:val="right"/>
            </w:pPr>
            <w:r>
              <w:t>163.30</w:t>
            </w:r>
          </w:p>
          <w:p w14:paraId="649C1FD3" w14:textId="547DC6A8" w:rsidR="00AA5DF9" w:rsidRDefault="00AA5DF9">
            <w:pPr>
              <w:pStyle w:val="Other10"/>
              <w:shd w:val="clear" w:color="auto" w:fill="auto"/>
              <w:spacing w:after="0"/>
              <w:ind w:right="140"/>
              <w:jc w:val="right"/>
            </w:pPr>
          </w:p>
          <w:p w14:paraId="783AEF2C" w14:textId="07F66A84" w:rsidR="00AA5DF9" w:rsidRDefault="00AA5DF9">
            <w:pPr>
              <w:pStyle w:val="Other10"/>
              <w:shd w:val="clear" w:color="auto" w:fill="auto"/>
              <w:spacing w:after="0"/>
              <w:ind w:right="140"/>
              <w:jc w:val="right"/>
            </w:pPr>
          </w:p>
          <w:p w14:paraId="1361036D" w14:textId="0BCD2C4A" w:rsidR="00AA5DF9" w:rsidRDefault="00AA5DF9">
            <w:pPr>
              <w:pStyle w:val="Other10"/>
              <w:shd w:val="clear" w:color="auto" w:fill="auto"/>
              <w:spacing w:after="0"/>
              <w:ind w:right="140"/>
              <w:jc w:val="right"/>
            </w:pPr>
          </w:p>
          <w:p w14:paraId="5928D57E" w14:textId="0E932EF9" w:rsidR="00AA5DF9" w:rsidRDefault="00AA5DF9">
            <w:pPr>
              <w:pStyle w:val="Other10"/>
              <w:shd w:val="clear" w:color="auto" w:fill="auto"/>
              <w:spacing w:after="0"/>
              <w:ind w:right="140"/>
              <w:jc w:val="right"/>
            </w:pPr>
          </w:p>
          <w:p w14:paraId="3F7DC506" w14:textId="56FC445B" w:rsidR="00AA5DF9" w:rsidRDefault="00AA5DF9">
            <w:pPr>
              <w:pStyle w:val="Other10"/>
              <w:shd w:val="clear" w:color="auto" w:fill="auto"/>
              <w:spacing w:after="0"/>
              <w:ind w:right="140"/>
              <w:jc w:val="right"/>
            </w:pPr>
          </w:p>
          <w:p w14:paraId="26D73459" w14:textId="28FFF347" w:rsidR="00AA5DF9" w:rsidRDefault="00AA5DF9">
            <w:pPr>
              <w:pStyle w:val="Other10"/>
              <w:shd w:val="clear" w:color="auto" w:fill="auto"/>
              <w:spacing w:after="0"/>
              <w:ind w:right="140"/>
              <w:jc w:val="right"/>
            </w:pPr>
          </w:p>
          <w:p w14:paraId="7E24C66D" w14:textId="63DD496B" w:rsidR="00AA5DF9" w:rsidRDefault="00AA5DF9">
            <w:pPr>
              <w:pStyle w:val="Other10"/>
              <w:shd w:val="clear" w:color="auto" w:fill="auto"/>
              <w:spacing w:after="0"/>
              <w:ind w:right="140"/>
              <w:jc w:val="right"/>
            </w:pPr>
          </w:p>
          <w:p w14:paraId="3B567798" w14:textId="77777777" w:rsidR="00AA5DF9" w:rsidRDefault="00AA5DF9">
            <w:pPr>
              <w:pStyle w:val="Other10"/>
              <w:shd w:val="clear" w:color="auto" w:fill="auto"/>
              <w:spacing w:after="0"/>
              <w:ind w:right="140"/>
              <w:jc w:val="right"/>
            </w:pPr>
          </w:p>
          <w:p w14:paraId="4B9D59BF" w14:textId="3C0FA825" w:rsidR="00AA5DF9" w:rsidRDefault="00AA5DF9">
            <w:pPr>
              <w:pStyle w:val="Other10"/>
              <w:shd w:val="clear" w:color="auto" w:fill="auto"/>
              <w:spacing w:after="0"/>
              <w:ind w:right="140"/>
              <w:jc w:val="right"/>
            </w:pPr>
          </w:p>
        </w:tc>
      </w:tr>
      <w:tr w:rsidR="00112836" w14:paraId="651B8008" w14:textId="77777777">
        <w:trPr>
          <w:trHeight w:hRule="exact" w:val="245"/>
          <w:jc w:val="center"/>
        </w:trPr>
        <w:tc>
          <w:tcPr>
            <w:tcW w:w="1752" w:type="dxa"/>
            <w:shd w:val="clear" w:color="auto" w:fill="FFFFFF"/>
            <w:vAlign w:val="bottom"/>
          </w:tcPr>
          <w:p w14:paraId="38402C78" w14:textId="398FDA1B" w:rsidR="00112836" w:rsidRDefault="00112836">
            <w:pPr>
              <w:pStyle w:val="Other10"/>
              <w:shd w:val="clear" w:color="auto" w:fill="auto"/>
              <w:spacing w:after="0"/>
              <w:ind w:firstLine="700"/>
            </w:pPr>
            <w:r>
              <w:t>12</w:t>
            </w:r>
          </w:p>
        </w:tc>
        <w:tc>
          <w:tcPr>
            <w:tcW w:w="1690" w:type="dxa"/>
            <w:shd w:val="clear" w:color="auto" w:fill="FFFFFF"/>
            <w:vAlign w:val="bottom"/>
          </w:tcPr>
          <w:p w14:paraId="10F6BF74" w14:textId="1D3837AB" w:rsidR="00112836" w:rsidRDefault="00112836">
            <w:pPr>
              <w:pStyle w:val="Other10"/>
              <w:shd w:val="clear" w:color="auto" w:fill="auto"/>
              <w:spacing w:after="0"/>
              <w:ind w:right="140"/>
              <w:jc w:val="right"/>
            </w:pPr>
            <w:r>
              <w:t>305.30</w:t>
            </w:r>
          </w:p>
        </w:tc>
      </w:tr>
    </w:tbl>
    <w:p w14:paraId="7E39B3ED" w14:textId="77777777" w:rsidR="0058686D" w:rsidRDefault="0058686D"/>
    <w:p w14:paraId="1EFB934A" w14:textId="05A5BAC1" w:rsidR="00AF1408" w:rsidRDefault="0046095F" w:rsidP="003C5CA8">
      <w:r>
        <w:lastRenderedPageBreak/>
        <w:t xml:space="preserve">PLEASE TAKE </w:t>
      </w:r>
      <w:r w:rsidR="00EA3B9D">
        <w:t>FURTHER</w:t>
      </w:r>
      <w:r>
        <w:t xml:space="preserve"> NOTICE th</w:t>
      </w:r>
      <w:r w:rsidR="005A4E68">
        <w:t>at</w:t>
      </w:r>
      <w:r>
        <w:t xml:space="preserve"> virtual public</w:t>
      </w:r>
      <w:r w:rsidR="005A4E68">
        <w:t xml:space="preserve"> comment</w:t>
      </w:r>
      <w:r>
        <w:t xml:space="preserve"> hearings will be conducted on the following date and times so that members of the public may </w:t>
      </w:r>
      <w:r w:rsidR="00EA3B9D">
        <w:t>present their views</w:t>
      </w:r>
      <w:r>
        <w:t xml:space="preserve"> on the</w:t>
      </w:r>
      <w:r w:rsidR="0058686D">
        <w:t xml:space="preserve"> </w:t>
      </w:r>
      <w:r>
        <w:t>Petition:</w:t>
      </w:r>
    </w:p>
    <w:p w14:paraId="7FC40054" w14:textId="77777777" w:rsidR="0058686D" w:rsidRDefault="0058686D" w:rsidP="00BA6E74"/>
    <w:p w14:paraId="344E334F" w14:textId="340A00BF" w:rsidR="00AF1408" w:rsidRDefault="0046095F" w:rsidP="00983467">
      <w:pPr>
        <w:pStyle w:val="Bodytext10"/>
        <w:shd w:val="clear" w:color="auto" w:fill="auto"/>
        <w:spacing w:after="0"/>
      </w:pPr>
      <w:r>
        <w:t>Date:</w:t>
      </w:r>
      <w:r w:rsidRPr="00A13759">
        <w:t xml:space="preserve"> </w:t>
      </w:r>
      <w:r w:rsidR="00983467">
        <w:tab/>
      </w:r>
      <w:r w:rsidR="000749C5">
        <w:tab/>
      </w:r>
      <w:r w:rsidR="00A13759" w:rsidRPr="00A13759">
        <w:t>October 1</w:t>
      </w:r>
      <w:r w:rsidR="00983467">
        <w:t>4</w:t>
      </w:r>
      <w:r>
        <w:t>, 2025</w:t>
      </w:r>
    </w:p>
    <w:p w14:paraId="371324BB" w14:textId="7ECB7B18" w:rsidR="00AF1408" w:rsidRDefault="0046095F">
      <w:pPr>
        <w:pStyle w:val="Bodytext10"/>
        <w:shd w:val="clear" w:color="auto" w:fill="auto"/>
        <w:spacing w:after="0"/>
      </w:pPr>
      <w:r>
        <w:t xml:space="preserve">Times: </w:t>
      </w:r>
      <w:r w:rsidR="000749C5">
        <w:tab/>
      </w:r>
      <w:r>
        <w:t>4:30 and 5:30 pm</w:t>
      </w:r>
    </w:p>
    <w:p w14:paraId="3B39CAEF" w14:textId="46B8A11F" w:rsidR="00983467" w:rsidRPr="00983467" w:rsidRDefault="0046095F" w:rsidP="00983467">
      <w:r>
        <w:t>Link:</w:t>
      </w:r>
      <w:r w:rsidR="000749C5">
        <w:tab/>
      </w:r>
      <w:r w:rsidR="007B72B0">
        <w:t xml:space="preserve">    </w:t>
      </w:r>
      <w:hyperlink r:id="rId7" w:history="1">
        <w:r w:rsidR="007B72B0" w:rsidRPr="00734F1C">
          <w:rPr>
            <w:rStyle w:val="Hyperlink"/>
          </w:rPr>
          <w:t>https://saul.zoom.us/j/93665033629?pwd=b8aM7ZaZ7hd1QFblegx6Kabcm0XA8Y.1</w:t>
        </w:r>
      </w:hyperlink>
    </w:p>
    <w:p w14:paraId="46D837AB" w14:textId="4A740F51" w:rsidR="00AF1408" w:rsidRDefault="0046095F">
      <w:pPr>
        <w:pStyle w:val="Bodytext10"/>
        <w:shd w:val="clear" w:color="auto" w:fill="auto"/>
        <w:spacing w:after="0"/>
      </w:pPr>
      <w:r>
        <w:t>Dial-In Number:</w:t>
      </w:r>
      <w:r w:rsidR="007B72B0">
        <w:t xml:space="preserve"> </w:t>
      </w:r>
      <w:r>
        <w:t>1 -</w:t>
      </w:r>
      <w:r w:rsidR="00983467">
        <w:t>877-853-5247</w:t>
      </w:r>
    </w:p>
    <w:p w14:paraId="78EFC27B" w14:textId="753CE4C0" w:rsidR="00AF1408" w:rsidRDefault="0046095F" w:rsidP="00983467">
      <w:pPr>
        <w:pStyle w:val="Bodytext10"/>
        <w:shd w:val="clear" w:color="auto" w:fill="auto"/>
        <w:spacing w:after="0"/>
      </w:pPr>
      <w:r>
        <w:t>Meeting ID:</w:t>
      </w:r>
      <w:r w:rsidR="000749C5">
        <w:tab/>
      </w:r>
      <w:r w:rsidR="00983467" w:rsidRPr="00983467">
        <w:t>936 6503 3629</w:t>
      </w:r>
    </w:p>
    <w:p w14:paraId="2104F22E" w14:textId="5F3E5482" w:rsidR="00AF1408" w:rsidRDefault="0046095F" w:rsidP="000749C5">
      <w:pPr>
        <w:pStyle w:val="Bodytext10"/>
        <w:shd w:val="clear" w:color="auto" w:fill="auto"/>
      </w:pPr>
      <w:r>
        <w:t>Passcode:</w:t>
      </w:r>
      <w:r w:rsidR="000749C5">
        <w:tab/>
        <w:t>811197</w:t>
      </w:r>
    </w:p>
    <w:p w14:paraId="55CB8E2D" w14:textId="2762FBE4" w:rsidR="00AF1408" w:rsidRDefault="0046095F" w:rsidP="00303D40">
      <w:pPr>
        <w:pStyle w:val="Bodytext10"/>
        <w:shd w:val="clear" w:color="auto" w:fill="auto"/>
        <w:jc w:val="both"/>
      </w:pPr>
      <w:r>
        <w:t xml:space="preserve">Representatives from the Company, Board Staff, and the New Jersey Division of Rate Counsel will participate in the virtual public hearings. Members of the public are invited to participate by utilizing the link or dial-in information set forth above to express their views on the Petition. All comments will be made part of the final record of </w:t>
      </w:r>
      <w:r w:rsidR="005A4E68">
        <w:t>the</w:t>
      </w:r>
      <w:r>
        <w:t xml:space="preserve"> proceeding to be considered by the Board. In order to encourage full participation in this opportunity for public comment, please submit any requests for needed accommodations, such as interpreters and/or listening assistance, at least 48 hours prior to the above hearing to the Board Secretary at </w:t>
      </w:r>
      <w:r>
        <w:rPr>
          <w:color w:val="0000FA"/>
          <w:u w:val="single"/>
        </w:rPr>
        <w:t>board</w:t>
      </w:r>
      <w:r w:rsidR="00212CBC">
        <w:rPr>
          <w:color w:val="0000FA"/>
          <w:u w:val="single"/>
        </w:rPr>
        <w:t>.</w:t>
      </w:r>
      <w:r>
        <w:rPr>
          <w:color w:val="0000FA"/>
          <w:u w:val="single"/>
        </w:rPr>
        <w:t>secretary@bpu.n</w:t>
      </w:r>
      <w:r w:rsidR="00212CBC">
        <w:rPr>
          <w:color w:val="0000FA"/>
          <w:u w:val="single"/>
        </w:rPr>
        <w:t>j.</w:t>
      </w:r>
      <w:r>
        <w:rPr>
          <w:color w:val="0000FA"/>
          <w:u w:val="single"/>
        </w:rPr>
        <w:t>gov</w:t>
      </w:r>
      <w:r>
        <w:rPr>
          <w:color w:val="0000FA"/>
        </w:rPr>
        <w:t>.</w:t>
      </w:r>
    </w:p>
    <w:p w14:paraId="7D1A286A" w14:textId="1335B04F" w:rsidR="00AF1408" w:rsidRDefault="0046095F" w:rsidP="00303D40">
      <w:pPr>
        <w:pStyle w:val="Bodytext10"/>
        <w:shd w:val="clear" w:color="auto" w:fill="auto"/>
        <w:jc w:val="both"/>
      </w:pPr>
      <w:r>
        <w:t xml:space="preserve">Comments may be submitted directly to the specific docket listed above using the “Post Comments” button on the Board’s Document Search tool, https://publicaccess.bpu.state.nj.us. Comments are considered public documents for purposes of the State’s Open Public Records Act. Only submit public documents using the “Post Comments” button on the Board’s Public Document Search tool. Any confidential information should be submitted in accordance with the procedures set forth in N.J.A.C. 14:1-12.3. In addition to hard copy submissions, confidential information may be filed electronically via the Board’s e-filing system or by email to the Secretary of the Board, Sherri Lewis. Please include “Confidential Information” in the subject line of any email. Instructions for confidential e-filing are found on the Board’s webpage, </w:t>
      </w:r>
      <w:r>
        <w:rPr>
          <w:color w:val="0000FA"/>
          <w:u w:val="single"/>
        </w:rPr>
        <w:t>https://www.nj.gov/bpu/agenda/efiling/</w:t>
      </w:r>
      <w:r>
        <w:rPr>
          <w:color w:val="0000FA"/>
        </w:rPr>
        <w:t>.</w:t>
      </w:r>
    </w:p>
    <w:p w14:paraId="6F8D6311" w14:textId="77777777" w:rsidR="00AF1408" w:rsidRDefault="0046095F">
      <w:pPr>
        <w:pStyle w:val="Bodytext10"/>
        <w:shd w:val="clear" w:color="auto" w:fill="auto"/>
        <w:spacing w:after="0"/>
      </w:pPr>
      <w:r>
        <w:t>Emailed and/or written comments may also be submitted to:</w:t>
      </w:r>
    </w:p>
    <w:p w14:paraId="1E1E670F" w14:textId="77777777" w:rsidR="00AF1408" w:rsidRDefault="0046095F">
      <w:pPr>
        <w:pStyle w:val="Bodytext10"/>
        <w:shd w:val="clear" w:color="auto" w:fill="auto"/>
        <w:spacing w:after="0"/>
      </w:pPr>
      <w:r>
        <w:t>Sherri Lewis, Secretary of the Board</w:t>
      </w:r>
    </w:p>
    <w:p w14:paraId="0F6462E0" w14:textId="77777777" w:rsidR="00AF1408" w:rsidRDefault="0046095F">
      <w:pPr>
        <w:pStyle w:val="Bodytext10"/>
        <w:shd w:val="clear" w:color="auto" w:fill="auto"/>
        <w:spacing w:after="0"/>
      </w:pPr>
      <w:r>
        <w:t>44 South Clinton Ave., 1st Floor</w:t>
      </w:r>
    </w:p>
    <w:p w14:paraId="1931D63D" w14:textId="77777777" w:rsidR="00AF1408" w:rsidRDefault="0046095F">
      <w:pPr>
        <w:pStyle w:val="Bodytext10"/>
        <w:shd w:val="clear" w:color="auto" w:fill="auto"/>
        <w:spacing w:after="0"/>
      </w:pPr>
      <w:r>
        <w:t>PO Box 350</w:t>
      </w:r>
    </w:p>
    <w:p w14:paraId="27F491BE" w14:textId="77777777" w:rsidR="00AF1408" w:rsidRDefault="0046095F">
      <w:pPr>
        <w:pStyle w:val="Bodytext10"/>
        <w:shd w:val="clear" w:color="auto" w:fill="auto"/>
        <w:spacing w:after="0"/>
      </w:pPr>
      <w:r>
        <w:t>Trenton, NJ 08625-0350</w:t>
      </w:r>
    </w:p>
    <w:p w14:paraId="3B308CC1" w14:textId="77777777" w:rsidR="0058686D" w:rsidRDefault="0046095F">
      <w:pPr>
        <w:pStyle w:val="Bodytext10"/>
        <w:shd w:val="clear" w:color="auto" w:fill="auto"/>
      </w:pPr>
      <w:r>
        <w:t xml:space="preserve">Email: </w:t>
      </w:r>
      <w:hyperlink r:id="rId8" w:history="1">
        <w:r w:rsidR="00A9065B" w:rsidRPr="009A156B">
          <w:rPr>
            <w:rStyle w:val="Hyperlink"/>
          </w:rPr>
          <w:t>board.secretary@bpu.nj.gov</w:t>
        </w:r>
      </w:hyperlink>
      <w:r w:rsidR="00A9065B">
        <w:t xml:space="preserve">.  </w:t>
      </w:r>
    </w:p>
    <w:p w14:paraId="6C87E69C" w14:textId="0854E061" w:rsidR="00AF1408" w:rsidRPr="00A9065B" w:rsidRDefault="00A9065B">
      <w:pPr>
        <w:pStyle w:val="Bodytext10"/>
        <w:shd w:val="clear" w:color="auto" w:fill="auto"/>
      </w:pPr>
      <w:r>
        <w:t xml:space="preserve">Please include BPU Docket No. </w:t>
      </w:r>
      <w:r>
        <w:rPr>
          <w:b/>
          <w:bCs/>
        </w:rPr>
        <w:t>WR25060367</w:t>
      </w:r>
      <w:r w:rsidRPr="00A9065B">
        <w:t xml:space="preserve"> in any written or emailed comments.</w:t>
      </w:r>
    </w:p>
    <w:p w14:paraId="34A6DE8A" w14:textId="77777777" w:rsidR="00AF1408" w:rsidRDefault="0046095F">
      <w:pPr>
        <w:pStyle w:val="Bodytext10"/>
        <w:shd w:val="clear" w:color="auto" w:fill="auto"/>
        <w:spacing w:after="0"/>
        <w:ind w:left="5060"/>
      </w:pPr>
      <w:r>
        <w:t>By: Natalie Chesko</w:t>
      </w:r>
    </w:p>
    <w:p w14:paraId="00B43552" w14:textId="77777777" w:rsidR="00AF1408" w:rsidRDefault="0046095F">
      <w:pPr>
        <w:pStyle w:val="Bodytext10"/>
        <w:shd w:val="clear" w:color="auto" w:fill="auto"/>
        <w:ind w:left="5060"/>
      </w:pPr>
      <w:r>
        <w:t>President, Aqua New Jersey, Inc.</w:t>
      </w:r>
    </w:p>
    <w:sectPr w:rsidR="00AF1408" w:rsidSect="0090249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D486" w14:textId="77777777" w:rsidR="00564201" w:rsidRDefault="00564201">
      <w:r>
        <w:separator/>
      </w:r>
    </w:p>
  </w:endnote>
  <w:endnote w:type="continuationSeparator" w:id="0">
    <w:p w14:paraId="5F6D0A82" w14:textId="77777777" w:rsidR="00564201" w:rsidRDefault="0056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632F" w14:textId="77777777" w:rsidR="00AF1408" w:rsidRDefault="0046095F">
    <w:pPr>
      <w:spacing w:line="1" w:lineRule="exact"/>
    </w:pPr>
    <w:r>
      <w:rPr>
        <w:noProof/>
      </w:rPr>
      <mc:AlternateContent>
        <mc:Choice Requires="wps">
          <w:drawing>
            <wp:anchor distT="0" distB="0" distL="0" distR="0" simplePos="0" relativeHeight="62914690" behindDoc="1" locked="0" layoutInCell="1" allowOverlap="1" wp14:anchorId="3B97F2F2" wp14:editId="4F4FFB04">
              <wp:simplePos x="0" y="0"/>
              <wp:positionH relativeFrom="page">
                <wp:posOffset>3807460</wp:posOffset>
              </wp:positionH>
              <wp:positionV relativeFrom="page">
                <wp:posOffset>9537065</wp:posOffset>
              </wp:positionV>
              <wp:extent cx="164465"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164465" cy="100330"/>
                      </a:xfrm>
                      <a:prstGeom prst="rect">
                        <a:avLst/>
                      </a:prstGeom>
                      <a:noFill/>
                    </wps:spPr>
                    <wps:txbx>
                      <w:txbxContent>
                        <w:p w14:paraId="4A5D9EC5" w14:textId="77777777" w:rsidR="00AF1408" w:rsidRDefault="0046095F">
                          <w:pPr>
                            <w:pStyle w:val="Headerorfooter10"/>
                            <w:shd w:val="clear" w:color="auto" w:fill="auto"/>
                          </w:pPr>
                          <w:r>
                            <w:t>-2-</w:t>
                          </w:r>
                        </w:p>
                      </w:txbxContent>
                    </wps:txbx>
                    <wps:bodyPr wrap="none" lIns="0" tIns="0" rIns="0" bIns="0">
                      <a:spAutoFit/>
                    </wps:bodyPr>
                  </wps:wsp>
                </a:graphicData>
              </a:graphic>
            </wp:anchor>
          </w:drawing>
        </mc:Choice>
        <mc:Fallback xmlns:w16du="http://schemas.microsoft.com/office/word/2023/wordml/word16du" xmlns:w16sdtfl="http://schemas.microsoft.com/office/word/2024/wordml/sdtformatlock">
          <w:pict>
            <v:shapetype w14:anchorId="3B97F2F2" id="_x0000_t202" coordsize="21600,21600" o:spt="202" path="m,l,21600r21600,l21600,xe">
              <v:stroke joinstyle="miter"/>
              <v:path gradientshapeok="t" o:connecttype="rect"/>
            </v:shapetype>
            <v:shape id="Shape 1" o:spid="_x0000_s1026" type="#_x0000_t202" style="position:absolute;margin-left:299.8pt;margin-top:750.95pt;width:12.9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" filled="f" stroked="f">
              <v:textbox style="mso-fit-shape-to-text:t" inset="0,0,0,0">
                <w:txbxContent>
                  <w:p w14:paraId="4A5D9EC5" w14:textId="77777777" w:rsidR="00AF1408" w:rsidRDefault="0046095F">
                    <w:pPr>
                      <w:pStyle w:val="Headerorfooter10"/>
                      <w:shd w:val="clear" w:color="auto" w:fill="auto"/>
                    </w:pPr>
                    <w: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643937"/>
      <w:docPartObj>
        <w:docPartGallery w:val="Page Numbers (Bottom of Page)"/>
        <w:docPartUnique/>
      </w:docPartObj>
    </w:sdtPr>
    <w:sdtEndPr>
      <w:rPr>
        <w:noProof/>
      </w:rPr>
    </w:sdtEndPr>
    <w:sdtContent>
      <w:p w14:paraId="79C5BED6" w14:textId="03FDCEED" w:rsidR="00F5465F" w:rsidRDefault="00F546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EA8162" w14:textId="33F78896" w:rsidR="00AF1408" w:rsidRDefault="00AF140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AD60" w14:textId="77777777" w:rsidR="00983467" w:rsidRDefault="00983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3544" w14:textId="77777777" w:rsidR="00564201" w:rsidRDefault="00564201"/>
  </w:footnote>
  <w:footnote w:type="continuationSeparator" w:id="0">
    <w:p w14:paraId="3D3345D2" w14:textId="77777777" w:rsidR="00564201" w:rsidRDefault="00564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10C1" w14:textId="77777777" w:rsidR="00983467" w:rsidRDefault="00983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79E3" w14:textId="77777777" w:rsidR="00983467" w:rsidRDefault="00983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93CD" w14:textId="77777777" w:rsidR="00983467" w:rsidRDefault="009834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Removed" w:val="True"/>
    <w:docVar w:name="DateRemoved" w:val="False"/>
    <w:docVar w:name="DocIDAllPagesExceptFirst" w:val="False"/>
    <w:docVar w:name="DocIDClientMatter" w:val="False"/>
    <w:docVar w:name="DocIDDate" w:val="True"/>
    <w:docVar w:name="DocIDDateText" w:val="False"/>
    <w:docVar w:name="DocIDDefaultsApplied" w:val="False"/>
    <w:docVar w:name="DocIDDraft" w:val="False"/>
    <w:docVar w:name="DocIDEOD" w:val="False"/>
    <w:docVar w:name="DocIDFileName" w:val="False"/>
    <w:docVar w:name="DocIDFooter" w:val="True"/>
    <w:docVar w:name="DocIDLongDate" w:val="False"/>
    <w:docVar w:name="DocIDPrefix" w:val="False"/>
    <w:docVar w:name="DocIDPrintedDate" w:val="False"/>
    <w:docVar w:name="DocIDRemoved" w:val="False"/>
    <w:docVar w:name="DocIDTime" w:val="False"/>
    <w:docVar w:name="DocIDType" w:val="AllPages"/>
    <w:docVar w:name="DocIDVersion" w:val="True"/>
    <w:docVar w:name="DraftRemoved" w:val="True"/>
    <w:docVar w:name="LegacyDocIDRemoved" w:val="True"/>
    <w:docVar w:name="TimeRemoved" w:val="True"/>
  </w:docVars>
  <w:rsids>
    <w:rsidRoot w:val="00AF1408"/>
    <w:rsid w:val="000749C5"/>
    <w:rsid w:val="00112836"/>
    <w:rsid w:val="00141152"/>
    <w:rsid w:val="00212CBC"/>
    <w:rsid w:val="00243B34"/>
    <w:rsid w:val="002959BC"/>
    <w:rsid w:val="00303D40"/>
    <w:rsid w:val="00317985"/>
    <w:rsid w:val="003C5CA8"/>
    <w:rsid w:val="0046095F"/>
    <w:rsid w:val="004B7670"/>
    <w:rsid w:val="00564201"/>
    <w:rsid w:val="0058686D"/>
    <w:rsid w:val="005A0BE2"/>
    <w:rsid w:val="005A4E68"/>
    <w:rsid w:val="0062233D"/>
    <w:rsid w:val="007A65E1"/>
    <w:rsid w:val="007B72B0"/>
    <w:rsid w:val="0089640B"/>
    <w:rsid w:val="008C042F"/>
    <w:rsid w:val="008C4A02"/>
    <w:rsid w:val="0090249E"/>
    <w:rsid w:val="0093185C"/>
    <w:rsid w:val="00983467"/>
    <w:rsid w:val="00A13759"/>
    <w:rsid w:val="00A9065B"/>
    <w:rsid w:val="00AA5DF9"/>
    <w:rsid w:val="00AF1408"/>
    <w:rsid w:val="00BA6E74"/>
    <w:rsid w:val="00C25CE5"/>
    <w:rsid w:val="00CA7731"/>
    <w:rsid w:val="00D53C30"/>
    <w:rsid w:val="00D879A2"/>
    <w:rsid w:val="00EA3B9D"/>
    <w:rsid w:val="00F136B5"/>
    <w:rsid w:val="00F42D2A"/>
    <w:rsid w:val="00F5465F"/>
    <w:rsid w:val="00F7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A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link w:val="Bodytext10"/>
    <w:rPr>
      <w:b w:val="0"/>
      <w:bCs w:val="0"/>
      <w:i w:val="0"/>
      <w:iCs w:val="0"/>
      <w:smallCaps w:val="0"/>
      <w:strike w:val="0"/>
      <w:u w:val="none"/>
    </w:rPr>
  </w:style>
  <w:style w:type="character" w:customStyle="1" w:styleId="Other1">
    <w:name w:val="Other|1_"/>
    <w:basedOn w:val="DefaultParagraphFont"/>
    <w:link w:val="Other10"/>
    <w:rPr>
      <w:b w:val="0"/>
      <w:bCs w:val="0"/>
      <w:i w:val="0"/>
      <w:iCs w:val="0"/>
      <w:smallCaps w:val="0"/>
      <w:strike w:val="0"/>
      <w:u w:val="none"/>
    </w:rPr>
  </w:style>
  <w:style w:type="character" w:customStyle="1" w:styleId="Bodytext2">
    <w:name w:val="Body text|2_"/>
    <w:basedOn w:val="DefaultParagraphFont"/>
    <w:link w:val="Bodytext20"/>
    <w:rPr>
      <w:rFonts w:ascii="Arial" w:eastAsia="Arial" w:hAnsi="Arial" w:cs="Arial"/>
      <w:b w:val="0"/>
      <w:bCs w:val="0"/>
      <w:i w:val="0"/>
      <w:iCs w:val="0"/>
      <w:smallCaps w:val="0"/>
      <w:strike w:val="0"/>
      <w:u w:val="none"/>
    </w:rPr>
  </w:style>
  <w:style w:type="character" w:customStyle="1" w:styleId="Headerorfooter1">
    <w:name w:val="Header or footer|1_"/>
    <w:basedOn w:val="DefaultParagraphFont"/>
    <w:link w:val="Headerorfooter10"/>
    <w:rPr>
      <w:b w:val="0"/>
      <w:bCs w:val="0"/>
      <w:i w:val="0"/>
      <w:iCs w:val="0"/>
      <w:smallCaps w:val="0"/>
      <w:strike w:val="0"/>
      <w:u w:val="none"/>
    </w:rPr>
  </w:style>
  <w:style w:type="paragraph" w:customStyle="1" w:styleId="Bodytext10">
    <w:name w:val="Body text|1"/>
    <w:basedOn w:val="Normal"/>
    <w:link w:val="Bodytext1"/>
    <w:pPr>
      <w:shd w:val="clear" w:color="auto" w:fill="FFFFFF"/>
      <w:spacing w:after="260"/>
    </w:pPr>
  </w:style>
  <w:style w:type="paragraph" w:customStyle="1" w:styleId="Other10">
    <w:name w:val="Other|1"/>
    <w:basedOn w:val="Normal"/>
    <w:link w:val="Other1"/>
    <w:pPr>
      <w:shd w:val="clear" w:color="auto" w:fill="FFFFFF"/>
      <w:spacing w:after="260"/>
    </w:pPr>
  </w:style>
  <w:style w:type="paragraph" w:customStyle="1" w:styleId="Bodytext20">
    <w:name w:val="Body text|2"/>
    <w:basedOn w:val="Normal"/>
    <w:link w:val="Bodytext2"/>
    <w:pPr>
      <w:shd w:val="clear" w:color="auto" w:fill="FFFFFF"/>
      <w:spacing w:after="720"/>
      <w:jc w:val="center"/>
    </w:pPr>
    <w:rPr>
      <w:rFonts w:ascii="Arial" w:eastAsia="Arial" w:hAnsi="Arial" w:cs="Arial"/>
    </w:rPr>
  </w:style>
  <w:style w:type="paragraph" w:customStyle="1" w:styleId="Headerorfooter10">
    <w:name w:val="Header or footer|1"/>
    <w:basedOn w:val="Normal"/>
    <w:link w:val="Headerorfooter1"/>
    <w:pPr>
      <w:shd w:val="clear" w:color="auto" w:fill="FFFFFF"/>
    </w:pPr>
  </w:style>
  <w:style w:type="paragraph" w:styleId="Header">
    <w:name w:val="header"/>
    <w:basedOn w:val="Normal"/>
    <w:link w:val="HeaderChar"/>
    <w:uiPriority w:val="99"/>
    <w:unhideWhenUsed/>
    <w:rsid w:val="00EA3B9D"/>
    <w:pPr>
      <w:tabs>
        <w:tab w:val="center" w:pos="4680"/>
        <w:tab w:val="right" w:pos="9360"/>
      </w:tabs>
    </w:pPr>
  </w:style>
  <w:style w:type="character" w:customStyle="1" w:styleId="HeaderChar">
    <w:name w:val="Header Char"/>
    <w:basedOn w:val="DefaultParagraphFont"/>
    <w:link w:val="Header"/>
    <w:uiPriority w:val="99"/>
    <w:rsid w:val="00EA3B9D"/>
    <w:rPr>
      <w:color w:val="000000"/>
    </w:rPr>
  </w:style>
  <w:style w:type="paragraph" w:styleId="Footer">
    <w:name w:val="footer"/>
    <w:basedOn w:val="Normal"/>
    <w:link w:val="FooterChar"/>
    <w:uiPriority w:val="99"/>
    <w:unhideWhenUsed/>
    <w:rsid w:val="00EA3B9D"/>
    <w:pPr>
      <w:tabs>
        <w:tab w:val="center" w:pos="4680"/>
        <w:tab w:val="right" w:pos="9360"/>
      </w:tabs>
    </w:pPr>
  </w:style>
  <w:style w:type="character" w:customStyle="1" w:styleId="FooterChar">
    <w:name w:val="Footer Char"/>
    <w:basedOn w:val="DefaultParagraphFont"/>
    <w:link w:val="Footer"/>
    <w:uiPriority w:val="99"/>
    <w:rsid w:val="00EA3B9D"/>
    <w:rPr>
      <w:color w:val="000000"/>
    </w:rPr>
  </w:style>
  <w:style w:type="character" w:customStyle="1" w:styleId="DocID">
    <w:name w:val="DocID"/>
    <w:basedOn w:val="DefaultParagraphFont"/>
    <w:rsid w:val="00F5465F"/>
    <w:rPr>
      <w:rFonts w:ascii="Times New Roman" w:hAnsi="Times New Roman" w:cs="Times New Roman"/>
      <w:b w:val="0"/>
      <w:i w:val="0"/>
      <w:caps w:val="0"/>
      <w:vanish w:val="0"/>
      <w:color w:val="000000"/>
      <w:sz w:val="16"/>
      <w:u w:val="none"/>
    </w:rPr>
  </w:style>
  <w:style w:type="paragraph" w:styleId="Revision">
    <w:name w:val="Revision"/>
    <w:hidden/>
    <w:uiPriority w:val="99"/>
    <w:semiHidden/>
    <w:rsid w:val="00F42D2A"/>
    <w:pPr>
      <w:widowControl/>
    </w:pPr>
    <w:rPr>
      <w:color w:val="000000"/>
    </w:rPr>
  </w:style>
  <w:style w:type="character" w:styleId="CommentReference">
    <w:name w:val="annotation reference"/>
    <w:basedOn w:val="DefaultParagraphFont"/>
    <w:uiPriority w:val="99"/>
    <w:semiHidden/>
    <w:unhideWhenUsed/>
    <w:rsid w:val="005A4E68"/>
    <w:rPr>
      <w:sz w:val="16"/>
      <w:szCs w:val="16"/>
    </w:rPr>
  </w:style>
  <w:style w:type="paragraph" w:styleId="CommentText">
    <w:name w:val="annotation text"/>
    <w:basedOn w:val="Normal"/>
    <w:link w:val="CommentTextChar"/>
    <w:uiPriority w:val="99"/>
    <w:unhideWhenUsed/>
    <w:rsid w:val="005A4E68"/>
    <w:rPr>
      <w:sz w:val="20"/>
      <w:szCs w:val="20"/>
    </w:rPr>
  </w:style>
  <w:style w:type="character" w:customStyle="1" w:styleId="CommentTextChar">
    <w:name w:val="Comment Text Char"/>
    <w:basedOn w:val="DefaultParagraphFont"/>
    <w:link w:val="CommentText"/>
    <w:uiPriority w:val="99"/>
    <w:rsid w:val="005A4E68"/>
    <w:rPr>
      <w:color w:val="000000"/>
      <w:sz w:val="20"/>
      <w:szCs w:val="20"/>
    </w:rPr>
  </w:style>
  <w:style w:type="paragraph" w:styleId="CommentSubject">
    <w:name w:val="annotation subject"/>
    <w:basedOn w:val="CommentText"/>
    <w:next w:val="CommentText"/>
    <w:link w:val="CommentSubjectChar"/>
    <w:uiPriority w:val="99"/>
    <w:semiHidden/>
    <w:unhideWhenUsed/>
    <w:rsid w:val="005A4E68"/>
    <w:rPr>
      <w:b/>
      <w:bCs/>
    </w:rPr>
  </w:style>
  <w:style w:type="character" w:customStyle="1" w:styleId="CommentSubjectChar">
    <w:name w:val="Comment Subject Char"/>
    <w:basedOn w:val="CommentTextChar"/>
    <w:link w:val="CommentSubject"/>
    <w:uiPriority w:val="99"/>
    <w:semiHidden/>
    <w:rsid w:val="005A4E68"/>
    <w:rPr>
      <w:b/>
      <w:bCs/>
      <w:color w:val="000000"/>
      <w:sz w:val="20"/>
      <w:szCs w:val="20"/>
    </w:rPr>
  </w:style>
  <w:style w:type="character" w:styleId="Hyperlink">
    <w:name w:val="Hyperlink"/>
    <w:basedOn w:val="DefaultParagraphFont"/>
    <w:uiPriority w:val="99"/>
    <w:unhideWhenUsed/>
    <w:rsid w:val="00A9065B"/>
    <w:rPr>
      <w:color w:val="0563C1" w:themeColor="hyperlink"/>
      <w:u w:val="single"/>
    </w:rPr>
  </w:style>
  <w:style w:type="character" w:styleId="UnresolvedMention">
    <w:name w:val="Unresolved Mention"/>
    <w:basedOn w:val="DefaultParagraphFont"/>
    <w:uiPriority w:val="99"/>
    <w:semiHidden/>
    <w:unhideWhenUsed/>
    <w:rsid w:val="00A9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431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board.secretary@bpu.nj.gov" TargetMode="External" Id="rId8" /><Relationship Type="http://schemas.openxmlformats.org/officeDocument/2006/relationships/header" Target="header3.xml" Id="rId13" /><Relationship Type="http://schemas.openxmlformats.org/officeDocument/2006/relationships/webSettings" Target="webSettings.xml" Id="rId3" /><Relationship Type="http://schemas.openxmlformats.org/officeDocument/2006/relationships/hyperlink" Target="https://saul.zoom.us/j/93665033629?pwd=b8aM7ZaZ7hd1QFblegx6Kabcm0XA8Y.1" TargetMode="External" Id="rId7" /><Relationship Type="http://schemas.openxmlformats.org/officeDocument/2006/relationships/footer" Target="footer2.xml" Id="rId12" /><Relationship Type="http://schemas.openxmlformats.org/officeDocument/2006/relationships/settings" Target="setting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hyperlink" Target="http://www.aquawater.com" TargetMode="External"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footnotes" Target="footnot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FIRMDMS!56154546.3</documentid>
  <senderid>4761</senderid>
  <senderemail>JENNIFER.CRESWELL@SAUL.COM</senderemail>
  <lastmodified>2025-09-15T11:23:00.0000000-04:00</lastmodified>
  <database>FIRMDMS</database>
</properties>
</file>

<file path=customXML/itemProps.xml><?xml version="1.0" encoding="utf-8"?>
<ds:datastoreItem xmlns:ds="http://schemas.openxmlformats.org/officeDocument/2006/customXml" ds:itemID="{B21C744B-AA16-4D25-A0F0-8AC019CB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3786</Characters>
  <Application>Microsoft Office Word</Application>
  <DocSecurity>0</DocSecurity>
  <Lines>108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2025-09-08T18:46:00Z</dcterms:created>
  <dcterms:modified xsi:type="dcterms:W3CDTF">2025-09-15T15:23:00Z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56154546</vt:lpwstr>
  </property>
  <property fmtid="{D5CDD505-2E9C-101B-9397-08002B2CF9AE}" pid="3" name="DocumentVersion">
    <vt:lpwstr>3</vt:lpwstr>
  </property>
  <property fmtid="{D5CDD505-2E9C-101B-9397-08002B2CF9AE}" pid="4" name="ClientNumber">
    <vt:lpwstr>019468</vt:lpwstr>
  </property>
  <property fmtid="{D5CDD505-2E9C-101B-9397-08002B2CF9AE}" pid="5" name="MatterNumber">
    <vt:lpwstr>89695</vt:lpwstr>
  </property>
  <property fmtid="{D5CDD505-2E9C-101B-9397-08002B2CF9AE}" pid="6" name="ClientName">
    <vt:lpwstr>Aqua New Jersey, Inc.</vt:lpwstr>
  </property>
  <property fmtid="{D5CDD505-2E9C-101B-9397-08002B2CF9AE}" pid="7" name="MatterName">
    <vt:lpwstr>General Regulatory Advice - 2020-00217</vt:lpwstr>
  </property>
  <property fmtid="{D5CDD505-2E9C-101B-9397-08002B2CF9AE}" pid="8" name="DatabaseName">
    <vt:lpwstr>FIRMDMS</vt:lpwstr>
  </property>
  <property fmtid="{D5CDD505-2E9C-101B-9397-08002B2CF9AE}" pid="9" name="TypistName">
    <vt:lpwstr>4977</vt:lpwstr>
  </property>
  <property fmtid="{D5CDD505-2E9C-101B-9397-08002B2CF9AE}" pid="10" name="AuthorName">
    <vt:lpwstr>7901</vt:lpwstr>
  </property>
  <property fmtid="{D5CDD505-2E9C-101B-9397-08002B2CF9AE}" pid="11" name="InUseBy">
    <vt:lpwstr>4761</vt:lpwstr>
  </property>
  <property fmtid="{D5CDD505-2E9C-101B-9397-08002B2CF9AE}" pid="12" name="EditDate">
    <vt:lpwstr>9/15/2025 2:53:40 PM</vt:lpwstr>
  </property>
  <property fmtid="{D5CDD505-2E9C-101B-9397-08002B2CF9AE}" pid="13" name="EditTime">
    <vt:lpwstr/>
  </property>
  <property fmtid="{D5CDD505-2E9C-101B-9397-08002B2CF9AE}" pid="14" name="IsiManageWork">
    <vt:lpwstr>True</vt:lpwstr>
  </property>
  <property fmtid="{D5CDD505-2E9C-101B-9397-08002B2CF9AE}" pid="15" name="_NewReviewCycle">
    <vt:lpwstr/>
  </property>
  <property fmtid="{D5CDD505-2E9C-101B-9397-08002B2CF9AE}" pid="16" name="DocID">
    <vt:lpwstr>56154546.3</vt:lpwstr>
  </property>
  <property fmtid="{D5CDD505-2E9C-101B-9397-08002B2CF9AE}" pid="17" name="_AdHocReviewCycleID">
    <vt:i4>493982799</vt:i4>
  </property>
</Properties>
</file>